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AE" w:rsidRPr="00B55169" w:rsidRDefault="008E28AE" w:rsidP="008E28AE">
      <w:pPr>
        <w:autoSpaceDE w:val="0"/>
        <w:autoSpaceDN w:val="0"/>
        <w:adjustRightInd w:val="0"/>
        <w:spacing w:after="0" w:line="240" w:lineRule="auto"/>
        <w:ind w:firstLine="709"/>
        <w:jc w:val="center"/>
        <w:rPr>
          <w:rFonts w:ascii="Arial" w:hAnsi="Arial" w:cs="Arial"/>
          <w:sz w:val="24"/>
          <w:szCs w:val="24"/>
        </w:rPr>
      </w:pPr>
      <w:r w:rsidRPr="00B55169">
        <w:rPr>
          <w:rFonts w:ascii="Arial" w:hAnsi="Arial" w:cs="Arial"/>
          <w:sz w:val="24"/>
          <w:szCs w:val="24"/>
        </w:rPr>
        <w:t>О текущей ситуации по вопросам охраны труда в районе</w:t>
      </w:r>
      <w:bookmarkStart w:id="0" w:name="_GoBack"/>
      <w:bookmarkEnd w:id="0"/>
    </w:p>
    <w:p w:rsidR="008E28AE" w:rsidRPr="00B55169" w:rsidRDefault="008E28AE" w:rsidP="00494CF8">
      <w:pPr>
        <w:autoSpaceDE w:val="0"/>
        <w:autoSpaceDN w:val="0"/>
        <w:adjustRightInd w:val="0"/>
        <w:spacing w:after="0" w:line="240" w:lineRule="auto"/>
        <w:ind w:firstLine="709"/>
        <w:jc w:val="both"/>
        <w:rPr>
          <w:rFonts w:ascii="Arial" w:hAnsi="Arial" w:cs="Arial"/>
          <w:sz w:val="24"/>
          <w:szCs w:val="24"/>
        </w:rPr>
      </w:pPr>
    </w:p>
    <w:p w:rsidR="0038262A" w:rsidRPr="00B55169" w:rsidRDefault="0038262A"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 xml:space="preserve">Вступили в силу изменения, </w:t>
      </w:r>
      <w:r w:rsidR="008E28AE" w:rsidRPr="00B55169">
        <w:rPr>
          <w:rFonts w:ascii="Arial" w:hAnsi="Arial" w:cs="Arial"/>
          <w:sz w:val="24"/>
          <w:szCs w:val="24"/>
        </w:rPr>
        <w:t>внесенные в Трудовой кодекс РФ относительно охраны труда.</w:t>
      </w:r>
    </w:p>
    <w:p w:rsidR="0038262A" w:rsidRPr="00B55169" w:rsidRDefault="0038262A"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Например, скорректирован порядок расследования и учета несчастных случаев на производстве, введено понятие микроповреждений (микротравм), учет и рассмотрение обстоятельств и причин которых работодатель осуществляет самостоятельно, введен запрет (за некоторым исключением) на работу в опасных условиях труда.</w:t>
      </w:r>
    </w:p>
    <w:p w:rsidR="0038262A" w:rsidRPr="00B55169" w:rsidRDefault="0038262A"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Помимо этого, в ТК РФ закреплены новые обязанности и права работников и работодателей.</w:t>
      </w:r>
    </w:p>
    <w:p w:rsidR="0038262A" w:rsidRPr="00B55169" w:rsidRDefault="0038262A"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 xml:space="preserve">Работодатели в соответствии с новой редакцией ТК РФ теперь обязаны, в частности: </w:t>
      </w:r>
    </w:p>
    <w:p w:rsidR="0038262A" w:rsidRPr="00B55169" w:rsidRDefault="0038262A"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 приостановить работы на рабочих местах, если условия труда на них по результатам СОУТ отнесены к опасному классу;</w:t>
      </w:r>
    </w:p>
    <w:p w:rsidR="0038262A" w:rsidRPr="00B55169" w:rsidRDefault="0038262A"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 обеспечить систематическое выявление опасностей и профессиональных рисков, их регулярный анализ и оценку;</w:t>
      </w:r>
    </w:p>
    <w:p w:rsidR="0038262A" w:rsidRPr="00B55169" w:rsidRDefault="0038262A"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 xml:space="preserve">-незамедлительно проинформировать работника об отнесении условий труда на его рабочем месте по результатам СОУТ к </w:t>
      </w:r>
      <w:r w:rsidR="008E28AE" w:rsidRPr="00B55169">
        <w:rPr>
          <w:rFonts w:ascii="Arial" w:hAnsi="Arial" w:cs="Arial"/>
          <w:sz w:val="24"/>
          <w:szCs w:val="24"/>
        </w:rPr>
        <w:t>опа</w:t>
      </w:r>
      <w:r w:rsidRPr="00B55169">
        <w:rPr>
          <w:rFonts w:ascii="Arial" w:hAnsi="Arial" w:cs="Arial"/>
          <w:sz w:val="24"/>
          <w:szCs w:val="24"/>
        </w:rPr>
        <w:t>сному классу;</w:t>
      </w:r>
    </w:p>
    <w:p w:rsidR="0038262A" w:rsidRPr="00B55169" w:rsidRDefault="0038262A"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 обеспечить информирование работников об использовании приборов, устройств,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38262A" w:rsidRPr="00B55169" w:rsidRDefault="0038262A"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Для работодателей в новой редакции ТК РФ закреплено право:</w:t>
      </w:r>
    </w:p>
    <w:p w:rsidR="0038262A" w:rsidRPr="00B55169" w:rsidRDefault="0038262A"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 xml:space="preserve">- на проведение самостоятельной оценки </w:t>
      </w:r>
      <w:r w:rsidR="00B96D70" w:rsidRPr="00B55169">
        <w:rPr>
          <w:rFonts w:ascii="Arial" w:hAnsi="Arial" w:cs="Arial"/>
          <w:sz w:val="24"/>
          <w:szCs w:val="24"/>
        </w:rPr>
        <w:t>соблюдения требований трудового законодательства и иных НПА,  содержащих нормы трудового права (самообследование);</w:t>
      </w:r>
    </w:p>
    <w:p w:rsidR="00B96D70" w:rsidRPr="00B55169" w:rsidRDefault="00B96D70"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 на использование в целях контроля за безопасностью производства работ приборов, устройств, обеспечивающих дистанционную видео-, аудио- или иную фиксацию процессов производства работ, и обеспечения хранения полученной информации;</w:t>
      </w:r>
    </w:p>
    <w:p w:rsidR="00B96D70" w:rsidRPr="00B55169" w:rsidRDefault="00B96D70"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 xml:space="preserve"> - на ведение электронного документооборота в области охраны труда.</w:t>
      </w:r>
    </w:p>
    <w:p w:rsidR="00B96D70" w:rsidRPr="00B55169" w:rsidRDefault="00B96D70"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Работники в соответствии с новой редакцией ТК РФ обязаны:</w:t>
      </w:r>
    </w:p>
    <w:p w:rsidR="00B96D70" w:rsidRPr="00B55169" w:rsidRDefault="00B96D70"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 незамедлительно известить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а также приостановить работу до их устранения;</w:t>
      </w:r>
    </w:p>
    <w:p w:rsidR="00B96D70" w:rsidRPr="00B55169" w:rsidRDefault="00B96D70" w:rsidP="00B96D70">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 xml:space="preserve">- немедленно извещать своего непосредственного или вышестоящего руководителя о нарушении работниками и другими лицами, участвующими в производственной деятельности работодателя, указанными в </w:t>
      </w:r>
      <w:hyperlink r:id="rId6">
        <w:r w:rsidRPr="00B55169">
          <w:rPr>
            <w:rFonts w:ascii="Arial" w:hAnsi="Arial" w:cs="Arial"/>
            <w:color w:val="0000FF"/>
            <w:sz w:val="24"/>
            <w:szCs w:val="24"/>
          </w:rPr>
          <w:t>ч. 2 ст. 227</w:t>
        </w:r>
      </w:hyperlink>
      <w:r w:rsidRPr="00B55169">
        <w:rPr>
          <w:rFonts w:ascii="Arial" w:hAnsi="Arial" w:cs="Arial"/>
          <w:sz w:val="24"/>
          <w:szCs w:val="24"/>
        </w:rPr>
        <w:t xml:space="preserve"> ТК РФ, требований охраны труда.</w:t>
      </w:r>
    </w:p>
    <w:p w:rsidR="00B96D70" w:rsidRPr="00B55169" w:rsidRDefault="00B96D70" w:rsidP="00B96D70">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Для работников в новой редакции ТК РФ закреплено право:</w:t>
      </w:r>
    </w:p>
    <w:p w:rsidR="00B96D70" w:rsidRPr="00B55169" w:rsidRDefault="00B96D70" w:rsidP="00B96D70">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 на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 (</w:t>
      </w:r>
      <w:hyperlink r:id="rId7">
        <w:r w:rsidRPr="00B55169">
          <w:rPr>
            <w:rFonts w:ascii="Arial" w:hAnsi="Arial" w:cs="Arial"/>
            <w:color w:val="0000FF"/>
            <w:sz w:val="24"/>
            <w:szCs w:val="24"/>
          </w:rPr>
          <w:t>ст. 216</w:t>
        </w:r>
      </w:hyperlink>
      <w:r w:rsidRPr="00B55169">
        <w:rPr>
          <w:rFonts w:ascii="Arial" w:hAnsi="Arial" w:cs="Arial"/>
          <w:sz w:val="24"/>
          <w:szCs w:val="24"/>
        </w:rPr>
        <w:t xml:space="preserve"> ТК РФ).</w:t>
      </w:r>
    </w:p>
    <w:p w:rsidR="00B96D70" w:rsidRPr="00B55169" w:rsidRDefault="00B96D70" w:rsidP="00B96D70">
      <w:pPr>
        <w:pStyle w:val="ConsPlusNormal"/>
        <w:ind w:left="313"/>
        <w:jc w:val="both"/>
        <w:rPr>
          <w:rFonts w:ascii="Arial" w:hAnsi="Arial" w:cs="Arial"/>
          <w:sz w:val="24"/>
          <w:szCs w:val="24"/>
        </w:rPr>
      </w:pPr>
      <w:r w:rsidRPr="00B55169">
        <w:rPr>
          <w:rFonts w:ascii="Arial" w:hAnsi="Arial" w:cs="Arial"/>
          <w:sz w:val="24"/>
          <w:szCs w:val="24"/>
        </w:rPr>
        <w:t xml:space="preserve">      -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w:t>
      </w:r>
    </w:p>
    <w:p w:rsidR="00B96D70" w:rsidRPr="00B55169" w:rsidRDefault="00B96D70" w:rsidP="00B96D70">
      <w:pPr>
        <w:spacing w:after="0" w:line="240" w:lineRule="auto"/>
        <w:ind w:firstLine="709"/>
        <w:jc w:val="both"/>
        <w:rPr>
          <w:rFonts w:ascii="Arial" w:hAnsi="Arial" w:cs="Arial"/>
          <w:sz w:val="24"/>
          <w:szCs w:val="24"/>
        </w:rPr>
      </w:pPr>
      <w:r w:rsidRPr="00B55169">
        <w:rPr>
          <w:rFonts w:ascii="Arial" w:hAnsi="Arial" w:cs="Arial"/>
          <w:sz w:val="24"/>
          <w:szCs w:val="24"/>
        </w:rPr>
        <w:t xml:space="preserve">Также применяются новые нормативные правовые акты, принятые в соответствии с </w:t>
      </w:r>
      <w:hyperlink w:anchor="P3">
        <w:r w:rsidRPr="00B55169">
          <w:rPr>
            <w:rStyle w:val="a3"/>
            <w:rFonts w:ascii="Arial" w:hAnsi="Arial" w:cs="Arial"/>
            <w:color w:val="auto"/>
            <w:sz w:val="24"/>
            <w:szCs w:val="24"/>
            <w:u w:val="none"/>
          </w:rPr>
          <w:t>указанными изменениями</w:t>
        </w:r>
      </w:hyperlink>
      <w:r w:rsidRPr="00B55169">
        <w:rPr>
          <w:rFonts w:ascii="Arial" w:hAnsi="Arial" w:cs="Arial"/>
          <w:sz w:val="24"/>
          <w:szCs w:val="24"/>
        </w:rPr>
        <w:t xml:space="preserve"> Трудового кодекса РФ, а также на основании иных нормативных правовых актов:</w:t>
      </w:r>
    </w:p>
    <w:p w:rsidR="00B96D70" w:rsidRPr="00B55169" w:rsidRDefault="00B96D70" w:rsidP="00B96D70">
      <w:pPr>
        <w:spacing w:after="0" w:line="240" w:lineRule="auto"/>
        <w:ind w:firstLine="709"/>
        <w:jc w:val="both"/>
        <w:rPr>
          <w:rFonts w:ascii="Arial" w:hAnsi="Arial" w:cs="Arial"/>
          <w:sz w:val="24"/>
          <w:szCs w:val="24"/>
        </w:rPr>
      </w:pPr>
      <w:r w:rsidRPr="00B55169">
        <w:rPr>
          <w:rFonts w:ascii="Arial" w:hAnsi="Arial" w:cs="Arial"/>
          <w:sz w:val="24"/>
          <w:szCs w:val="24"/>
        </w:rPr>
        <w:lastRenderedPageBreak/>
        <w:t xml:space="preserve">Примерное </w:t>
      </w:r>
      <w:hyperlink r:id="rId8">
        <w:r w:rsidRPr="00B55169">
          <w:rPr>
            <w:rStyle w:val="a3"/>
            <w:rFonts w:ascii="Arial" w:hAnsi="Arial" w:cs="Arial"/>
            <w:color w:val="auto"/>
            <w:sz w:val="24"/>
            <w:szCs w:val="24"/>
            <w:u w:val="none"/>
          </w:rPr>
          <w:t>положение</w:t>
        </w:r>
      </w:hyperlink>
      <w:r w:rsidRPr="00B55169">
        <w:rPr>
          <w:rFonts w:ascii="Arial" w:hAnsi="Arial" w:cs="Arial"/>
          <w:sz w:val="24"/>
          <w:szCs w:val="24"/>
        </w:rPr>
        <w:t xml:space="preserve"> о системе управления охраной труда (</w:t>
      </w:r>
      <w:hyperlink r:id="rId9">
        <w:r w:rsidRPr="00B55169">
          <w:rPr>
            <w:rStyle w:val="a3"/>
            <w:rFonts w:ascii="Arial" w:hAnsi="Arial" w:cs="Arial"/>
            <w:color w:val="auto"/>
            <w:sz w:val="24"/>
            <w:szCs w:val="24"/>
            <w:u w:val="none"/>
          </w:rPr>
          <w:t>ч. 3 ст. 217</w:t>
        </w:r>
      </w:hyperlink>
      <w:r w:rsidRPr="00B55169">
        <w:rPr>
          <w:rFonts w:ascii="Arial" w:hAnsi="Arial" w:cs="Arial"/>
          <w:sz w:val="24"/>
          <w:szCs w:val="24"/>
        </w:rPr>
        <w:t xml:space="preserve"> ТК РФ). Оно поможет работодателям соблюдать требования охраны труда посредством создания, внедрения и обеспечения функционирования СУОТ в организации, разработать локальные нормативные акты, определяющие порядок функционирования СУОТ, а также меры, направленные на создание безопасных условий труда, предотвращение производственного травматизма и профессиональной заболеваемости (</w:t>
      </w:r>
      <w:hyperlink r:id="rId10">
        <w:r w:rsidRPr="00B55169">
          <w:rPr>
            <w:rStyle w:val="a3"/>
            <w:rFonts w:ascii="Arial" w:hAnsi="Arial" w:cs="Arial"/>
            <w:color w:val="auto"/>
            <w:sz w:val="24"/>
            <w:szCs w:val="24"/>
            <w:u w:val="none"/>
          </w:rPr>
          <w:t>п. 1</w:t>
        </w:r>
      </w:hyperlink>
      <w:r w:rsidRPr="00B55169">
        <w:rPr>
          <w:rFonts w:ascii="Arial" w:hAnsi="Arial" w:cs="Arial"/>
          <w:sz w:val="24"/>
          <w:szCs w:val="24"/>
        </w:rPr>
        <w:t xml:space="preserve"> указанного Примерного положения);</w:t>
      </w:r>
    </w:p>
    <w:p w:rsidR="00B96D70" w:rsidRPr="00B55169" w:rsidRDefault="00B55169" w:rsidP="00B96D70">
      <w:pPr>
        <w:spacing w:after="0" w:line="240" w:lineRule="auto"/>
        <w:ind w:firstLine="709"/>
        <w:jc w:val="both"/>
        <w:rPr>
          <w:rFonts w:ascii="Arial" w:hAnsi="Arial" w:cs="Arial"/>
          <w:sz w:val="24"/>
          <w:szCs w:val="24"/>
        </w:rPr>
      </w:pPr>
      <w:hyperlink r:id="rId11">
        <w:r w:rsidR="00B96D70" w:rsidRPr="00B55169">
          <w:rPr>
            <w:rStyle w:val="a3"/>
            <w:rFonts w:ascii="Arial" w:hAnsi="Arial" w:cs="Arial"/>
            <w:color w:val="auto"/>
            <w:sz w:val="24"/>
            <w:szCs w:val="24"/>
            <w:u w:val="none"/>
          </w:rPr>
          <w:t>Порядок</w:t>
        </w:r>
      </w:hyperlink>
      <w:r w:rsidR="00B96D70" w:rsidRPr="00B55169">
        <w:rPr>
          <w:rFonts w:ascii="Arial" w:hAnsi="Arial" w:cs="Arial"/>
          <w:sz w:val="24"/>
          <w:szCs w:val="24"/>
        </w:rPr>
        <w:t xml:space="preserve"> проведения государственной экспертизы условий труда (</w:t>
      </w:r>
      <w:hyperlink r:id="rId12">
        <w:r w:rsidR="00B96D70" w:rsidRPr="00B55169">
          <w:rPr>
            <w:rStyle w:val="a3"/>
            <w:rFonts w:ascii="Arial" w:hAnsi="Arial" w:cs="Arial"/>
            <w:color w:val="auto"/>
            <w:sz w:val="24"/>
            <w:szCs w:val="24"/>
            <w:u w:val="none"/>
          </w:rPr>
          <w:t>ч. 1 ст. 213</w:t>
        </w:r>
      </w:hyperlink>
      <w:r w:rsidR="00B96D70" w:rsidRPr="00B55169">
        <w:rPr>
          <w:rFonts w:ascii="Arial" w:hAnsi="Arial" w:cs="Arial"/>
          <w:sz w:val="24"/>
          <w:szCs w:val="24"/>
        </w:rPr>
        <w:t xml:space="preserve"> ТК РФ). Работодатель может обратиться за проведением такой госэкспертизы, чтобы оценить качество проведения СОУТ, правильность предоставления работникам гарантий и компенсаций за работу с вредными и (или) опасными условиями труда, фактические условия их труда (</w:t>
      </w:r>
      <w:hyperlink r:id="rId13">
        <w:r w:rsidR="00B96D70" w:rsidRPr="00B55169">
          <w:rPr>
            <w:rStyle w:val="a3"/>
            <w:rFonts w:ascii="Arial" w:hAnsi="Arial" w:cs="Arial"/>
            <w:color w:val="auto"/>
            <w:sz w:val="24"/>
            <w:szCs w:val="24"/>
            <w:u w:val="none"/>
          </w:rPr>
          <w:t>ч. 2</w:t>
        </w:r>
      </w:hyperlink>
      <w:r w:rsidR="00B96D70" w:rsidRPr="00B55169">
        <w:rPr>
          <w:rFonts w:ascii="Arial" w:hAnsi="Arial" w:cs="Arial"/>
          <w:sz w:val="24"/>
          <w:szCs w:val="24"/>
        </w:rPr>
        <w:t xml:space="preserve">, </w:t>
      </w:r>
      <w:hyperlink r:id="rId14">
        <w:r w:rsidR="00B96D70" w:rsidRPr="00B55169">
          <w:rPr>
            <w:rStyle w:val="a3"/>
            <w:rFonts w:ascii="Arial" w:hAnsi="Arial" w:cs="Arial"/>
            <w:color w:val="auto"/>
            <w:sz w:val="24"/>
            <w:szCs w:val="24"/>
            <w:u w:val="none"/>
          </w:rPr>
          <w:t>3 ст. 213</w:t>
        </w:r>
      </w:hyperlink>
      <w:r w:rsidR="00B96D70" w:rsidRPr="00B55169">
        <w:rPr>
          <w:rFonts w:ascii="Arial" w:hAnsi="Arial" w:cs="Arial"/>
          <w:sz w:val="24"/>
          <w:szCs w:val="24"/>
        </w:rPr>
        <w:t xml:space="preserve"> ТК РФ);</w:t>
      </w:r>
    </w:p>
    <w:p w:rsidR="00B96D70" w:rsidRPr="00B55169" w:rsidRDefault="00B96D70" w:rsidP="00B96D70">
      <w:pPr>
        <w:spacing w:after="0" w:line="240" w:lineRule="auto"/>
        <w:ind w:firstLine="709"/>
        <w:jc w:val="both"/>
        <w:rPr>
          <w:rFonts w:ascii="Arial" w:hAnsi="Arial" w:cs="Arial"/>
          <w:sz w:val="24"/>
          <w:szCs w:val="24"/>
        </w:rPr>
      </w:pPr>
      <w:r w:rsidRPr="00B55169">
        <w:rPr>
          <w:rFonts w:ascii="Arial" w:hAnsi="Arial" w:cs="Arial"/>
          <w:sz w:val="24"/>
          <w:szCs w:val="24"/>
        </w:rPr>
        <w:t xml:space="preserve">Общие </w:t>
      </w:r>
      <w:hyperlink r:id="rId15">
        <w:r w:rsidRPr="00B55169">
          <w:rPr>
            <w:rStyle w:val="a3"/>
            <w:rFonts w:ascii="Arial" w:hAnsi="Arial" w:cs="Arial"/>
            <w:color w:val="auto"/>
            <w:sz w:val="24"/>
            <w:szCs w:val="24"/>
            <w:u w:val="none"/>
          </w:rPr>
          <w:t>требования</w:t>
        </w:r>
      </w:hyperlink>
      <w:r w:rsidRPr="00B55169">
        <w:rPr>
          <w:rFonts w:ascii="Arial" w:hAnsi="Arial" w:cs="Arial"/>
          <w:sz w:val="24"/>
          <w:szCs w:val="24"/>
        </w:rPr>
        <w:t xml:space="preserve"> к организации безопасного рабочего места (</w:t>
      </w:r>
      <w:hyperlink r:id="rId16">
        <w:r w:rsidRPr="00B55169">
          <w:rPr>
            <w:rStyle w:val="a3"/>
            <w:rFonts w:ascii="Arial" w:hAnsi="Arial" w:cs="Arial"/>
            <w:color w:val="auto"/>
            <w:sz w:val="24"/>
            <w:szCs w:val="24"/>
            <w:u w:val="none"/>
          </w:rPr>
          <w:t>ч. 7 ст. 209</w:t>
        </w:r>
      </w:hyperlink>
      <w:r w:rsidRPr="00B55169">
        <w:rPr>
          <w:rFonts w:ascii="Arial" w:hAnsi="Arial" w:cs="Arial"/>
          <w:sz w:val="24"/>
          <w:szCs w:val="24"/>
        </w:rPr>
        <w:t xml:space="preserve"> ТК РФ). Цель документа - обеспечить выполнение требований охраны труда работниками, занятыми на своих рабочих местах, и работодателями при организации рабочих мест. Для рабочих мест с территориально меняющимися рабочими зонами эти положения распространяются на каждую рабочую зону (</w:t>
      </w:r>
      <w:hyperlink r:id="rId17">
        <w:r w:rsidRPr="00B55169">
          <w:rPr>
            <w:rStyle w:val="a3"/>
            <w:rFonts w:ascii="Arial" w:hAnsi="Arial" w:cs="Arial"/>
            <w:color w:val="auto"/>
            <w:sz w:val="24"/>
            <w:szCs w:val="24"/>
            <w:u w:val="none"/>
          </w:rPr>
          <w:t>п. 1</w:t>
        </w:r>
      </w:hyperlink>
      <w:r w:rsidRPr="00B55169">
        <w:rPr>
          <w:rFonts w:ascii="Arial" w:hAnsi="Arial" w:cs="Arial"/>
          <w:sz w:val="24"/>
          <w:szCs w:val="24"/>
        </w:rPr>
        <w:t xml:space="preserve"> указанных Общих требований);</w:t>
      </w:r>
    </w:p>
    <w:p w:rsidR="00B96D70" w:rsidRPr="00B55169" w:rsidRDefault="00B96D70" w:rsidP="00B96D70">
      <w:pPr>
        <w:spacing w:after="0" w:line="240" w:lineRule="auto"/>
        <w:ind w:firstLine="709"/>
        <w:jc w:val="both"/>
        <w:rPr>
          <w:rFonts w:ascii="Arial" w:hAnsi="Arial" w:cs="Arial"/>
          <w:sz w:val="24"/>
          <w:szCs w:val="24"/>
        </w:rPr>
      </w:pPr>
      <w:r w:rsidRPr="00B55169">
        <w:rPr>
          <w:rFonts w:ascii="Arial" w:hAnsi="Arial" w:cs="Arial"/>
          <w:sz w:val="24"/>
          <w:szCs w:val="24"/>
        </w:rPr>
        <w:t xml:space="preserve">Примерный </w:t>
      </w:r>
      <w:hyperlink r:id="rId18">
        <w:r w:rsidRPr="00B55169">
          <w:rPr>
            <w:rStyle w:val="a3"/>
            <w:rFonts w:ascii="Arial" w:hAnsi="Arial" w:cs="Arial"/>
            <w:color w:val="auto"/>
            <w:sz w:val="24"/>
            <w:szCs w:val="24"/>
            <w:u w:val="none"/>
          </w:rPr>
          <w:t>перечень</w:t>
        </w:r>
      </w:hyperlink>
      <w:r w:rsidRPr="00B55169">
        <w:rPr>
          <w:rFonts w:ascii="Arial" w:hAnsi="Arial" w:cs="Arial"/>
          <w:sz w:val="24"/>
          <w:szCs w:val="24"/>
        </w:rPr>
        <w:t xml:space="preserve">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Работодатели (за исключением государственных унитарных предприятий и федеральных учреждений) финансируют такие мероприятия в размере не менее 0,2% суммы затрат на производство продукции (работ, услуг) (</w:t>
      </w:r>
      <w:hyperlink r:id="rId19">
        <w:r w:rsidRPr="00B55169">
          <w:rPr>
            <w:rStyle w:val="a3"/>
            <w:rFonts w:ascii="Arial" w:hAnsi="Arial" w:cs="Arial"/>
            <w:color w:val="auto"/>
            <w:sz w:val="24"/>
            <w:szCs w:val="24"/>
            <w:u w:val="none"/>
          </w:rPr>
          <w:t>ч. 3 ст. 225</w:t>
        </w:r>
      </w:hyperlink>
      <w:r w:rsidRPr="00B55169">
        <w:rPr>
          <w:rFonts w:ascii="Arial" w:hAnsi="Arial" w:cs="Arial"/>
          <w:sz w:val="24"/>
          <w:szCs w:val="24"/>
        </w:rPr>
        <w:t xml:space="preserve"> ТК РФ);</w:t>
      </w:r>
    </w:p>
    <w:p w:rsidR="00B96D70" w:rsidRPr="00B55169" w:rsidRDefault="00B96D70" w:rsidP="00B96D70">
      <w:pPr>
        <w:spacing w:after="0" w:line="240" w:lineRule="auto"/>
        <w:ind w:firstLine="709"/>
        <w:jc w:val="both"/>
        <w:rPr>
          <w:rFonts w:ascii="Arial" w:hAnsi="Arial" w:cs="Arial"/>
          <w:sz w:val="24"/>
          <w:szCs w:val="24"/>
        </w:rPr>
      </w:pPr>
      <w:r w:rsidRPr="00B55169">
        <w:rPr>
          <w:rFonts w:ascii="Arial" w:hAnsi="Arial" w:cs="Arial"/>
          <w:sz w:val="24"/>
          <w:szCs w:val="24"/>
        </w:rPr>
        <w:t xml:space="preserve">Примерный </w:t>
      </w:r>
      <w:hyperlink r:id="rId20">
        <w:r w:rsidRPr="00B55169">
          <w:rPr>
            <w:rStyle w:val="a3"/>
            <w:rFonts w:ascii="Arial" w:hAnsi="Arial" w:cs="Arial"/>
            <w:color w:val="auto"/>
            <w:sz w:val="24"/>
            <w:szCs w:val="24"/>
            <w:u w:val="none"/>
          </w:rPr>
          <w:t>перечень</w:t>
        </w:r>
      </w:hyperlink>
      <w:r w:rsidRPr="00B55169">
        <w:rPr>
          <w:rFonts w:ascii="Arial" w:hAnsi="Arial" w:cs="Arial"/>
          <w:sz w:val="24"/>
          <w:szCs w:val="24"/>
        </w:rPr>
        <w:t xml:space="preserve">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w:t>
      </w:r>
      <w:hyperlink r:id="rId21">
        <w:r w:rsidRPr="00B55169">
          <w:rPr>
            <w:rStyle w:val="a3"/>
            <w:rFonts w:ascii="Arial" w:hAnsi="Arial" w:cs="Arial"/>
            <w:color w:val="auto"/>
            <w:sz w:val="24"/>
            <w:szCs w:val="24"/>
            <w:u w:val="none"/>
          </w:rPr>
          <w:t>ч. 4 ст. 214</w:t>
        </w:r>
      </w:hyperlink>
      <w:r w:rsidRPr="00B55169">
        <w:rPr>
          <w:rFonts w:ascii="Arial" w:hAnsi="Arial" w:cs="Arial"/>
          <w:sz w:val="24"/>
          <w:szCs w:val="24"/>
        </w:rPr>
        <w:t xml:space="preserve"> ТК РФ);</w:t>
      </w:r>
    </w:p>
    <w:p w:rsidR="00B96D70" w:rsidRPr="00B55169" w:rsidRDefault="00B96D70" w:rsidP="00B96D70">
      <w:pPr>
        <w:spacing w:after="0" w:line="240" w:lineRule="auto"/>
        <w:ind w:firstLine="709"/>
        <w:jc w:val="both"/>
        <w:rPr>
          <w:rFonts w:ascii="Arial" w:hAnsi="Arial" w:cs="Arial"/>
          <w:sz w:val="24"/>
          <w:szCs w:val="24"/>
        </w:rPr>
      </w:pPr>
      <w:r w:rsidRPr="00B55169">
        <w:rPr>
          <w:rFonts w:ascii="Arial" w:hAnsi="Arial" w:cs="Arial"/>
          <w:sz w:val="24"/>
          <w:szCs w:val="24"/>
        </w:rPr>
        <w:t xml:space="preserve">Примерное </w:t>
      </w:r>
      <w:hyperlink r:id="rId22">
        <w:r w:rsidRPr="00B55169">
          <w:rPr>
            <w:rStyle w:val="a3"/>
            <w:rFonts w:ascii="Arial" w:hAnsi="Arial" w:cs="Arial"/>
            <w:color w:val="auto"/>
            <w:sz w:val="24"/>
            <w:szCs w:val="24"/>
            <w:u w:val="none"/>
          </w:rPr>
          <w:t>положение</w:t>
        </w:r>
      </w:hyperlink>
      <w:r w:rsidRPr="00B55169">
        <w:rPr>
          <w:rFonts w:ascii="Arial" w:hAnsi="Arial" w:cs="Arial"/>
          <w:sz w:val="24"/>
          <w:szCs w:val="24"/>
        </w:rPr>
        <w:t xml:space="preserve"> о комитете (комиссии) по охране труда. Если принимается решение о создании комитета (комиссии) по охране труда (по инициативе работодателя и (или) работников либо их уполномоченного представительного органа), потребуется разработать положение о нем. За основу следует взять Примерное </w:t>
      </w:r>
      <w:hyperlink r:id="rId23">
        <w:r w:rsidRPr="00B55169">
          <w:rPr>
            <w:rStyle w:val="a3"/>
            <w:rFonts w:ascii="Arial" w:hAnsi="Arial" w:cs="Arial"/>
            <w:color w:val="auto"/>
            <w:sz w:val="24"/>
            <w:szCs w:val="24"/>
            <w:u w:val="none"/>
          </w:rPr>
          <w:t>положение</w:t>
        </w:r>
      </w:hyperlink>
      <w:r w:rsidRPr="00B55169">
        <w:rPr>
          <w:rFonts w:ascii="Arial" w:hAnsi="Arial" w:cs="Arial"/>
          <w:sz w:val="24"/>
          <w:szCs w:val="24"/>
        </w:rPr>
        <w:t xml:space="preserve"> (</w:t>
      </w:r>
      <w:hyperlink r:id="rId24">
        <w:r w:rsidRPr="00B55169">
          <w:rPr>
            <w:rStyle w:val="a3"/>
            <w:rFonts w:ascii="Arial" w:hAnsi="Arial" w:cs="Arial"/>
            <w:color w:val="auto"/>
            <w:sz w:val="24"/>
            <w:szCs w:val="24"/>
            <w:u w:val="none"/>
          </w:rPr>
          <w:t>ч. 1 ст. 224</w:t>
        </w:r>
      </w:hyperlink>
      <w:r w:rsidRPr="00B55169">
        <w:rPr>
          <w:rFonts w:ascii="Arial" w:hAnsi="Arial" w:cs="Arial"/>
          <w:sz w:val="24"/>
          <w:szCs w:val="24"/>
        </w:rPr>
        <w:t xml:space="preserve"> ТК РФ, </w:t>
      </w:r>
      <w:hyperlink r:id="rId25">
        <w:r w:rsidRPr="00B55169">
          <w:rPr>
            <w:rStyle w:val="a3"/>
            <w:rFonts w:ascii="Arial" w:hAnsi="Arial" w:cs="Arial"/>
            <w:color w:val="auto"/>
            <w:sz w:val="24"/>
            <w:szCs w:val="24"/>
            <w:u w:val="none"/>
          </w:rPr>
          <w:t>п. 2</w:t>
        </w:r>
      </w:hyperlink>
      <w:r w:rsidRPr="00B55169">
        <w:rPr>
          <w:rFonts w:ascii="Arial" w:hAnsi="Arial" w:cs="Arial"/>
          <w:sz w:val="24"/>
          <w:szCs w:val="24"/>
        </w:rPr>
        <w:t xml:space="preserve"> указанного Примерного положения);</w:t>
      </w:r>
    </w:p>
    <w:p w:rsidR="00B96D70" w:rsidRPr="00B55169" w:rsidRDefault="00B55169" w:rsidP="00B96D70">
      <w:pPr>
        <w:spacing w:after="0" w:line="240" w:lineRule="auto"/>
        <w:ind w:firstLine="709"/>
        <w:jc w:val="both"/>
        <w:rPr>
          <w:rFonts w:ascii="Arial" w:hAnsi="Arial" w:cs="Arial"/>
          <w:sz w:val="24"/>
          <w:szCs w:val="24"/>
        </w:rPr>
      </w:pPr>
      <w:hyperlink r:id="rId26">
        <w:r w:rsidR="00B96D70" w:rsidRPr="00B55169">
          <w:rPr>
            <w:rStyle w:val="a3"/>
            <w:rFonts w:ascii="Arial" w:hAnsi="Arial" w:cs="Arial"/>
            <w:color w:val="auto"/>
            <w:sz w:val="24"/>
            <w:szCs w:val="24"/>
            <w:u w:val="none"/>
          </w:rPr>
          <w:t>Форма</w:t>
        </w:r>
      </w:hyperlink>
      <w:r w:rsidR="00B96D70" w:rsidRPr="00B55169">
        <w:rPr>
          <w:rFonts w:ascii="Arial" w:hAnsi="Arial" w:cs="Arial"/>
          <w:sz w:val="24"/>
          <w:szCs w:val="24"/>
        </w:rPr>
        <w:t xml:space="preserve"> и </w:t>
      </w:r>
      <w:hyperlink r:id="rId27">
        <w:r w:rsidR="00B96D70" w:rsidRPr="00B55169">
          <w:rPr>
            <w:rStyle w:val="a3"/>
            <w:rFonts w:ascii="Arial" w:hAnsi="Arial" w:cs="Arial"/>
            <w:color w:val="auto"/>
            <w:sz w:val="24"/>
            <w:szCs w:val="24"/>
            <w:u w:val="none"/>
          </w:rPr>
          <w:t>Порядок</w:t>
        </w:r>
      </w:hyperlink>
      <w:r w:rsidR="00B96D70" w:rsidRPr="00B55169">
        <w:rPr>
          <w:rFonts w:ascii="Arial" w:hAnsi="Arial" w:cs="Arial"/>
          <w:sz w:val="24"/>
          <w:szCs w:val="24"/>
        </w:rPr>
        <w:t xml:space="preserve"> подачи декларации соответствия условий труда государственным нормативным требованиям охраны труда, </w:t>
      </w:r>
      <w:hyperlink r:id="rId28">
        <w:r w:rsidR="00B96D70" w:rsidRPr="00B55169">
          <w:rPr>
            <w:rStyle w:val="a3"/>
            <w:rFonts w:ascii="Arial" w:hAnsi="Arial" w:cs="Arial"/>
            <w:color w:val="auto"/>
            <w:sz w:val="24"/>
            <w:szCs w:val="24"/>
            <w:u w:val="none"/>
          </w:rPr>
          <w:t>Порядок</w:t>
        </w:r>
      </w:hyperlink>
      <w:r w:rsidR="00B96D70" w:rsidRPr="00B55169">
        <w:rPr>
          <w:rFonts w:ascii="Arial" w:hAnsi="Arial" w:cs="Arial"/>
          <w:sz w:val="24"/>
          <w:szCs w:val="24"/>
        </w:rPr>
        <w:t xml:space="preserve"> формирования и ведения реестра деклараций соответствия условий труда государственным нормативным требованиям охраны труда;</w:t>
      </w:r>
    </w:p>
    <w:p w:rsidR="00B96D70" w:rsidRPr="00B55169" w:rsidRDefault="00B55169" w:rsidP="00B96D70">
      <w:pPr>
        <w:spacing w:after="0" w:line="240" w:lineRule="auto"/>
        <w:ind w:firstLine="709"/>
        <w:jc w:val="both"/>
        <w:rPr>
          <w:rFonts w:ascii="Arial" w:hAnsi="Arial" w:cs="Arial"/>
          <w:sz w:val="24"/>
          <w:szCs w:val="24"/>
        </w:rPr>
      </w:pPr>
      <w:hyperlink r:id="rId29">
        <w:r w:rsidR="00B96D70" w:rsidRPr="00B55169">
          <w:rPr>
            <w:rStyle w:val="a3"/>
            <w:rFonts w:ascii="Arial" w:hAnsi="Arial" w:cs="Arial"/>
            <w:color w:val="auto"/>
            <w:sz w:val="24"/>
            <w:szCs w:val="24"/>
            <w:u w:val="none"/>
          </w:rPr>
          <w:t>Правила</w:t>
        </w:r>
      </w:hyperlink>
      <w:r w:rsidR="00B96D70" w:rsidRPr="00B55169">
        <w:rPr>
          <w:rFonts w:ascii="Arial" w:hAnsi="Arial" w:cs="Arial"/>
          <w:sz w:val="24"/>
          <w:szCs w:val="24"/>
        </w:rPr>
        <w:t xml:space="preserve"> аккредитации организаций, ИП, оказывающих услуги в области охраны труда, а также </w:t>
      </w:r>
      <w:hyperlink r:id="rId30">
        <w:r w:rsidR="00B96D70" w:rsidRPr="00B55169">
          <w:rPr>
            <w:rStyle w:val="a3"/>
            <w:rFonts w:ascii="Arial" w:hAnsi="Arial" w:cs="Arial"/>
            <w:color w:val="auto"/>
            <w:sz w:val="24"/>
            <w:szCs w:val="24"/>
            <w:u w:val="none"/>
          </w:rPr>
          <w:t>Требования</w:t>
        </w:r>
      </w:hyperlink>
      <w:r w:rsidR="00B96D70" w:rsidRPr="00B55169">
        <w:rPr>
          <w:rFonts w:ascii="Arial" w:hAnsi="Arial" w:cs="Arial"/>
          <w:sz w:val="24"/>
          <w:szCs w:val="24"/>
        </w:rPr>
        <w:t xml:space="preserve"> к ним. Ими должны руководствоваться работодатели, у которых численность работников не превышает 50 человек, служба охраны труда (специалист по охране труда) отсутствует и ее функции осуществляет другая организация или ИП (</w:t>
      </w:r>
      <w:hyperlink r:id="rId31">
        <w:r w:rsidR="00B96D70" w:rsidRPr="00B55169">
          <w:rPr>
            <w:rStyle w:val="a3"/>
            <w:rFonts w:ascii="Arial" w:hAnsi="Arial" w:cs="Arial"/>
            <w:color w:val="auto"/>
            <w:sz w:val="24"/>
            <w:szCs w:val="24"/>
            <w:u w:val="none"/>
          </w:rPr>
          <w:t>ч. 3 ст. 223</w:t>
        </w:r>
      </w:hyperlink>
      <w:r w:rsidR="00B96D70" w:rsidRPr="00B55169">
        <w:rPr>
          <w:rFonts w:ascii="Arial" w:hAnsi="Arial" w:cs="Arial"/>
          <w:sz w:val="24"/>
          <w:szCs w:val="24"/>
        </w:rPr>
        <w:t xml:space="preserve"> ТК РФ);</w:t>
      </w:r>
    </w:p>
    <w:p w:rsidR="00B96D70" w:rsidRPr="00B55169" w:rsidRDefault="00B96D70" w:rsidP="00B96D70">
      <w:pPr>
        <w:spacing w:after="0" w:line="240" w:lineRule="auto"/>
        <w:ind w:firstLine="709"/>
        <w:jc w:val="both"/>
        <w:rPr>
          <w:rFonts w:ascii="Arial" w:hAnsi="Arial" w:cs="Arial"/>
          <w:sz w:val="24"/>
          <w:szCs w:val="24"/>
        </w:rPr>
      </w:pPr>
      <w:r w:rsidRPr="00B55169">
        <w:rPr>
          <w:rFonts w:ascii="Arial" w:hAnsi="Arial" w:cs="Arial"/>
          <w:sz w:val="24"/>
          <w:szCs w:val="24"/>
        </w:rPr>
        <w:t xml:space="preserve">Основные </w:t>
      </w:r>
      <w:hyperlink r:id="rId32">
        <w:r w:rsidRPr="00B55169">
          <w:rPr>
            <w:rStyle w:val="a3"/>
            <w:rFonts w:ascii="Arial" w:hAnsi="Arial" w:cs="Arial"/>
            <w:color w:val="auto"/>
            <w:sz w:val="24"/>
            <w:szCs w:val="24"/>
            <w:u w:val="none"/>
          </w:rPr>
          <w:t>требования</w:t>
        </w:r>
      </w:hyperlink>
      <w:r w:rsidRPr="00B55169">
        <w:rPr>
          <w:rFonts w:ascii="Arial" w:hAnsi="Arial" w:cs="Arial"/>
          <w:sz w:val="24"/>
          <w:szCs w:val="24"/>
        </w:rPr>
        <w:t xml:space="preserve"> к порядку разработки и содержанию правил и инструкций по охране труда, разрабатываемых работодателем (</w:t>
      </w:r>
      <w:hyperlink r:id="rId33">
        <w:r w:rsidRPr="00B55169">
          <w:rPr>
            <w:rStyle w:val="a3"/>
            <w:rFonts w:ascii="Arial" w:hAnsi="Arial" w:cs="Arial"/>
            <w:color w:val="auto"/>
            <w:sz w:val="24"/>
            <w:szCs w:val="24"/>
            <w:u w:val="none"/>
          </w:rPr>
          <w:t>ст. 211.2</w:t>
        </w:r>
      </w:hyperlink>
      <w:r w:rsidRPr="00B55169">
        <w:rPr>
          <w:rFonts w:ascii="Arial" w:hAnsi="Arial" w:cs="Arial"/>
          <w:sz w:val="24"/>
          <w:szCs w:val="24"/>
        </w:rPr>
        <w:t xml:space="preserve"> ТК РФ). С учетом специфики деятельности он сам определяет перечень разрабатываемых правил (стандартов) и инструкций по охране труда. В правила (стандарты) включаются требования по обеспечению безопасности труда и контролю при организации работ работодателем (уполномоченным им лицом). В инструкции по охране труда должны входить требования по безопасному </w:t>
      </w:r>
      <w:r w:rsidRPr="00B55169">
        <w:rPr>
          <w:rFonts w:ascii="Arial" w:hAnsi="Arial" w:cs="Arial"/>
          <w:sz w:val="24"/>
          <w:szCs w:val="24"/>
        </w:rPr>
        <w:lastRenderedPageBreak/>
        <w:t>выполнению работ работником (исполнителем) (</w:t>
      </w:r>
      <w:hyperlink r:id="rId34">
        <w:r w:rsidRPr="00B55169">
          <w:rPr>
            <w:rStyle w:val="a3"/>
            <w:rFonts w:ascii="Arial" w:hAnsi="Arial" w:cs="Arial"/>
            <w:color w:val="auto"/>
            <w:sz w:val="24"/>
            <w:szCs w:val="24"/>
            <w:u w:val="none"/>
          </w:rPr>
          <w:t>п. 4</w:t>
        </w:r>
      </w:hyperlink>
      <w:r w:rsidRPr="00B55169">
        <w:rPr>
          <w:rFonts w:ascii="Arial" w:hAnsi="Arial" w:cs="Arial"/>
          <w:sz w:val="24"/>
          <w:szCs w:val="24"/>
        </w:rPr>
        <w:t xml:space="preserve"> указанных Основных требований).</w:t>
      </w:r>
    </w:p>
    <w:p w:rsidR="00B96D70" w:rsidRPr="00B55169" w:rsidRDefault="00B96D70" w:rsidP="00B96D70">
      <w:pPr>
        <w:spacing w:after="0" w:line="240" w:lineRule="auto"/>
        <w:ind w:firstLine="709"/>
        <w:jc w:val="both"/>
        <w:rPr>
          <w:rFonts w:ascii="Arial" w:hAnsi="Arial" w:cs="Arial"/>
          <w:sz w:val="24"/>
          <w:szCs w:val="24"/>
        </w:rPr>
      </w:pPr>
      <w:r w:rsidRPr="00B55169">
        <w:rPr>
          <w:rFonts w:ascii="Arial" w:hAnsi="Arial" w:cs="Arial"/>
          <w:sz w:val="24"/>
          <w:szCs w:val="24"/>
        </w:rPr>
        <w:t>Кроме того, применяется ряд новых рекомендаций:</w:t>
      </w:r>
    </w:p>
    <w:p w:rsidR="00B96D70" w:rsidRPr="00B55169" w:rsidRDefault="00B55169" w:rsidP="00B96D70">
      <w:pPr>
        <w:spacing w:after="0" w:line="240" w:lineRule="auto"/>
        <w:ind w:firstLine="709"/>
        <w:jc w:val="both"/>
        <w:rPr>
          <w:rFonts w:ascii="Arial" w:hAnsi="Arial" w:cs="Arial"/>
          <w:sz w:val="24"/>
          <w:szCs w:val="24"/>
        </w:rPr>
      </w:pPr>
      <w:hyperlink r:id="rId35">
        <w:r w:rsidR="00B96D70" w:rsidRPr="00B55169">
          <w:rPr>
            <w:rStyle w:val="a3"/>
            <w:rFonts w:ascii="Arial" w:hAnsi="Arial" w:cs="Arial"/>
            <w:color w:val="auto"/>
            <w:sz w:val="24"/>
            <w:szCs w:val="24"/>
            <w:u w:val="none"/>
          </w:rPr>
          <w:t>Рекомендации</w:t>
        </w:r>
      </w:hyperlink>
      <w:r w:rsidR="00B96D70" w:rsidRPr="00B55169">
        <w:rPr>
          <w:rFonts w:ascii="Arial" w:hAnsi="Arial" w:cs="Arial"/>
          <w:sz w:val="24"/>
          <w:szCs w:val="24"/>
        </w:rPr>
        <w:t xml:space="preserve"> по классификации, обнаружению, распознаванию и описанию опасностей. Указанные действия осуществляются, в частности, в ходе контроля работодателя за состоянием условий и охраны труда, соблюдением требований охраны труда (</w:t>
      </w:r>
      <w:hyperlink r:id="rId36">
        <w:r w:rsidR="00B96D70" w:rsidRPr="00B55169">
          <w:rPr>
            <w:rStyle w:val="a3"/>
            <w:rFonts w:ascii="Arial" w:hAnsi="Arial" w:cs="Arial"/>
            <w:color w:val="auto"/>
            <w:sz w:val="24"/>
            <w:szCs w:val="24"/>
            <w:u w:val="none"/>
          </w:rPr>
          <w:t>ч. 5 ст. 218</w:t>
        </w:r>
      </w:hyperlink>
      <w:r w:rsidR="00B96D70" w:rsidRPr="00B55169">
        <w:rPr>
          <w:rFonts w:ascii="Arial" w:hAnsi="Arial" w:cs="Arial"/>
          <w:sz w:val="24"/>
          <w:szCs w:val="24"/>
        </w:rPr>
        <w:t xml:space="preserve"> ТК РФ);</w:t>
      </w:r>
    </w:p>
    <w:p w:rsidR="00B96D70" w:rsidRPr="00B55169" w:rsidRDefault="00B55169" w:rsidP="00B96D70">
      <w:pPr>
        <w:spacing w:after="0" w:line="240" w:lineRule="auto"/>
        <w:ind w:firstLine="709"/>
        <w:jc w:val="both"/>
        <w:rPr>
          <w:rFonts w:ascii="Arial" w:hAnsi="Arial" w:cs="Arial"/>
          <w:sz w:val="24"/>
          <w:szCs w:val="24"/>
        </w:rPr>
      </w:pPr>
      <w:hyperlink r:id="rId37">
        <w:r w:rsidR="00B96D70" w:rsidRPr="00B55169">
          <w:rPr>
            <w:rStyle w:val="a3"/>
            <w:rFonts w:ascii="Arial" w:hAnsi="Arial" w:cs="Arial"/>
            <w:color w:val="auto"/>
            <w:sz w:val="24"/>
            <w:szCs w:val="24"/>
            <w:u w:val="none"/>
          </w:rPr>
          <w:t>Рекомендации</w:t>
        </w:r>
      </w:hyperlink>
      <w:r w:rsidR="00B96D70" w:rsidRPr="00B55169">
        <w:rPr>
          <w:rFonts w:ascii="Arial" w:hAnsi="Arial" w:cs="Arial"/>
          <w:sz w:val="24"/>
          <w:szCs w:val="24"/>
        </w:rPr>
        <w:t xml:space="preserve"> по учету микроповреждений (микротравм) работников (</w:t>
      </w:r>
      <w:hyperlink r:id="rId38">
        <w:r w:rsidR="00B96D70" w:rsidRPr="00B55169">
          <w:rPr>
            <w:rStyle w:val="a3"/>
            <w:rFonts w:ascii="Arial" w:hAnsi="Arial" w:cs="Arial"/>
            <w:color w:val="auto"/>
            <w:sz w:val="24"/>
            <w:szCs w:val="24"/>
            <w:u w:val="none"/>
          </w:rPr>
          <w:t>ч. 4 ст. 226</w:t>
        </w:r>
      </w:hyperlink>
      <w:r w:rsidR="00B96D70" w:rsidRPr="00B55169">
        <w:rPr>
          <w:rFonts w:ascii="Arial" w:hAnsi="Arial" w:cs="Arial"/>
          <w:sz w:val="24"/>
          <w:szCs w:val="24"/>
        </w:rPr>
        <w:t xml:space="preserve"> ТК РФ). Работодатель должен самостоятельно вести такой учет и рассматривать обстоятельства, ставшие причиной подобных травм (</w:t>
      </w:r>
      <w:hyperlink r:id="rId39">
        <w:r w:rsidR="00B96D70" w:rsidRPr="00B55169">
          <w:rPr>
            <w:rStyle w:val="a3"/>
            <w:rFonts w:ascii="Arial" w:hAnsi="Arial" w:cs="Arial"/>
            <w:color w:val="auto"/>
            <w:sz w:val="24"/>
            <w:szCs w:val="24"/>
            <w:u w:val="none"/>
          </w:rPr>
          <w:t>ч. 3 ст. 214</w:t>
        </w:r>
      </w:hyperlink>
      <w:r w:rsidR="00B96D70" w:rsidRPr="00B55169">
        <w:rPr>
          <w:rFonts w:ascii="Arial" w:hAnsi="Arial" w:cs="Arial"/>
          <w:sz w:val="24"/>
          <w:szCs w:val="24"/>
        </w:rPr>
        <w:t xml:space="preserve">, </w:t>
      </w:r>
      <w:hyperlink r:id="rId40">
        <w:r w:rsidR="00B96D70" w:rsidRPr="00B55169">
          <w:rPr>
            <w:rStyle w:val="a3"/>
            <w:rFonts w:ascii="Arial" w:hAnsi="Arial" w:cs="Arial"/>
            <w:color w:val="auto"/>
            <w:sz w:val="24"/>
            <w:szCs w:val="24"/>
            <w:u w:val="none"/>
          </w:rPr>
          <w:t>ч. 2 ст. 226</w:t>
        </w:r>
      </w:hyperlink>
      <w:r w:rsidR="00B96D70" w:rsidRPr="00B55169">
        <w:rPr>
          <w:rFonts w:ascii="Arial" w:hAnsi="Arial" w:cs="Arial"/>
          <w:sz w:val="24"/>
          <w:szCs w:val="24"/>
        </w:rPr>
        <w:t xml:space="preserve"> ТК РФ);</w:t>
      </w:r>
    </w:p>
    <w:p w:rsidR="00B96D70" w:rsidRPr="00B55169" w:rsidRDefault="00B55169" w:rsidP="00B96D70">
      <w:pPr>
        <w:spacing w:after="0" w:line="240" w:lineRule="auto"/>
        <w:ind w:firstLine="709"/>
        <w:jc w:val="both"/>
        <w:rPr>
          <w:rFonts w:ascii="Arial" w:hAnsi="Arial" w:cs="Arial"/>
          <w:sz w:val="24"/>
          <w:szCs w:val="24"/>
        </w:rPr>
      </w:pPr>
      <w:hyperlink r:id="rId41">
        <w:r w:rsidR="00B96D70" w:rsidRPr="00B55169">
          <w:rPr>
            <w:rStyle w:val="a3"/>
            <w:rFonts w:ascii="Arial" w:hAnsi="Arial" w:cs="Arial"/>
            <w:color w:val="auto"/>
            <w:sz w:val="24"/>
            <w:szCs w:val="24"/>
            <w:u w:val="none"/>
          </w:rPr>
          <w:t>Рекомендации</w:t>
        </w:r>
      </w:hyperlink>
      <w:r w:rsidR="00B96D70" w:rsidRPr="00B55169">
        <w:rPr>
          <w:rFonts w:ascii="Arial" w:hAnsi="Arial" w:cs="Arial"/>
          <w:sz w:val="24"/>
          <w:szCs w:val="24"/>
        </w:rP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w:t>
      </w:r>
      <w:hyperlink r:id="rId42">
        <w:r w:rsidR="00B96D70" w:rsidRPr="00B55169">
          <w:rPr>
            <w:rStyle w:val="a3"/>
            <w:rFonts w:ascii="Arial" w:hAnsi="Arial" w:cs="Arial"/>
            <w:color w:val="auto"/>
            <w:sz w:val="24"/>
            <w:szCs w:val="24"/>
            <w:u w:val="none"/>
          </w:rPr>
          <w:t>ч. 4 ст. 216.2</w:t>
        </w:r>
      </w:hyperlink>
      <w:r w:rsidR="00B96D70" w:rsidRPr="00B55169">
        <w:rPr>
          <w:rFonts w:ascii="Arial" w:hAnsi="Arial" w:cs="Arial"/>
          <w:sz w:val="24"/>
          <w:szCs w:val="24"/>
        </w:rPr>
        <w:t xml:space="preserve"> ТК РФ);</w:t>
      </w:r>
    </w:p>
    <w:p w:rsidR="00B96D70" w:rsidRPr="00B55169" w:rsidRDefault="00B55169" w:rsidP="008E28AE">
      <w:pPr>
        <w:spacing w:after="0" w:line="240" w:lineRule="auto"/>
        <w:ind w:firstLine="709"/>
        <w:jc w:val="both"/>
        <w:rPr>
          <w:rFonts w:ascii="Arial" w:hAnsi="Arial" w:cs="Arial"/>
          <w:sz w:val="24"/>
          <w:szCs w:val="24"/>
        </w:rPr>
      </w:pPr>
      <w:hyperlink r:id="rId43">
        <w:r w:rsidR="00B96D70" w:rsidRPr="00B55169">
          <w:rPr>
            <w:rStyle w:val="a3"/>
            <w:rFonts w:ascii="Arial" w:hAnsi="Arial" w:cs="Arial"/>
            <w:color w:val="auto"/>
            <w:sz w:val="24"/>
            <w:szCs w:val="24"/>
            <w:u w:val="none"/>
          </w:rPr>
          <w:t>Рекомендации</w:t>
        </w:r>
      </w:hyperlink>
      <w:r w:rsidR="00B96D70" w:rsidRPr="00B55169">
        <w:rPr>
          <w:rFonts w:ascii="Arial" w:hAnsi="Arial" w:cs="Arial"/>
          <w:sz w:val="24"/>
          <w:szCs w:val="24"/>
        </w:rPr>
        <w:t xml:space="preserve"> по структуре службы охраны труда в организации и по численности</w:t>
      </w:r>
      <w:r w:rsidR="008E28AE" w:rsidRPr="00B55169">
        <w:rPr>
          <w:rFonts w:ascii="Arial" w:hAnsi="Arial" w:cs="Arial"/>
          <w:sz w:val="24"/>
          <w:szCs w:val="24"/>
        </w:rPr>
        <w:t xml:space="preserve"> работников службы охраны труда.</w:t>
      </w:r>
    </w:p>
    <w:p w:rsidR="008E28AE" w:rsidRPr="00B55169" w:rsidRDefault="008E28AE" w:rsidP="008E28AE">
      <w:pPr>
        <w:spacing w:after="0" w:line="240" w:lineRule="auto"/>
        <w:ind w:firstLine="709"/>
        <w:jc w:val="both"/>
        <w:rPr>
          <w:rFonts w:ascii="Arial" w:hAnsi="Arial" w:cs="Arial"/>
          <w:sz w:val="24"/>
          <w:szCs w:val="24"/>
        </w:rPr>
      </w:pPr>
      <w:r w:rsidRPr="00B55169">
        <w:rPr>
          <w:rFonts w:ascii="Arial" w:hAnsi="Arial" w:cs="Arial"/>
          <w:sz w:val="24"/>
          <w:szCs w:val="24"/>
        </w:rPr>
        <w:t>Заострю своё внимание на системе управления охраной труда в связи с запросом прокуратуры Должанского района в адрес глав сельских поселений.</w:t>
      </w:r>
    </w:p>
    <w:p w:rsidR="00494CF8" w:rsidRPr="00B55169" w:rsidRDefault="00494CF8"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В соответствии со статьей 217 Трудового кодекса РФ 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Работодатель обязан обеспечить создание и функционирование системы управления охраной труда.</w:t>
      </w:r>
    </w:p>
    <w:p w:rsidR="00494CF8" w:rsidRPr="00B55169" w:rsidRDefault="00494CF8"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Создание и обеспечение функционирования системы управления охраной труда регламентируется разработанным работодателем положением, в котором закрепляются в том числе политики, цели, распределение обязанностей между должностными лицами в области охраны труда, а также соответствующие процессы.</w:t>
      </w:r>
    </w:p>
    <w:p w:rsidR="00494CF8" w:rsidRPr="00B55169" w:rsidRDefault="00494CF8" w:rsidP="00494CF8">
      <w:pPr>
        <w:autoSpaceDE w:val="0"/>
        <w:autoSpaceDN w:val="0"/>
        <w:adjustRightInd w:val="0"/>
        <w:spacing w:after="0" w:line="240" w:lineRule="auto"/>
        <w:ind w:firstLine="709"/>
        <w:jc w:val="both"/>
        <w:rPr>
          <w:rFonts w:ascii="Arial" w:hAnsi="Arial" w:cs="Arial"/>
          <w:sz w:val="24"/>
          <w:szCs w:val="24"/>
        </w:rPr>
      </w:pPr>
      <w:r w:rsidRPr="00B55169">
        <w:rPr>
          <w:rFonts w:ascii="Arial" w:hAnsi="Arial" w:cs="Arial"/>
          <w:sz w:val="24"/>
          <w:szCs w:val="24"/>
        </w:rPr>
        <w:t xml:space="preserve">Примерное положение о системе управления охраной труда утверждено Приказом Минтруда России от 29.10.2021 №776н. </w:t>
      </w:r>
      <w:r w:rsidR="008E28AE" w:rsidRPr="00B55169">
        <w:rPr>
          <w:rFonts w:ascii="Arial" w:hAnsi="Arial" w:cs="Arial"/>
          <w:sz w:val="24"/>
          <w:szCs w:val="24"/>
        </w:rPr>
        <w:t xml:space="preserve">На основании данного Приказа работодатель разрабатывает свое Положение о системе управления охраной труда.  </w:t>
      </w:r>
    </w:p>
    <w:p w:rsidR="008E28AE" w:rsidRPr="00B55169" w:rsidRDefault="008E28AE" w:rsidP="008E28AE">
      <w:pPr>
        <w:spacing w:after="0"/>
        <w:ind w:firstLine="709"/>
        <w:jc w:val="both"/>
        <w:rPr>
          <w:rFonts w:ascii="Arial" w:hAnsi="Arial" w:cs="Arial"/>
          <w:sz w:val="24"/>
          <w:szCs w:val="24"/>
        </w:rPr>
      </w:pPr>
      <w:r w:rsidRPr="00B55169">
        <w:rPr>
          <w:rFonts w:ascii="Arial" w:hAnsi="Arial" w:cs="Arial"/>
          <w:sz w:val="24"/>
          <w:szCs w:val="24"/>
        </w:rPr>
        <w:t>В рамках системы управления охраной труда мы проводим определенные мероприятия по охране труда. Приказом Минтруда России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утвержден примерный перечень таких мероприятий. Ежегодно составляем план мероприятий по охране труда на следующий год. Структура плана следующая: там должны быть отражены результаты специальной оценки условий труда, перечень мероприятий, планируемых на следующий год, ответственные за эти мероприятия лица, сроки проведения каждого мероприятия и результаты, которые мы от него ожидаем (п. 30 Примерного положения о СУОТ). Форма плана свободная, но очень важный нюанс: при составлении плана необходим предварительный финансово-экономический анализ возможностей работодателя (п. 31 Примерного положения о СУОТ).</w:t>
      </w:r>
    </w:p>
    <w:p w:rsidR="008E28AE" w:rsidRPr="00B55169" w:rsidRDefault="008E28AE" w:rsidP="008E28AE">
      <w:pPr>
        <w:spacing w:after="0"/>
        <w:ind w:firstLine="709"/>
        <w:jc w:val="both"/>
        <w:rPr>
          <w:rFonts w:ascii="Arial" w:hAnsi="Arial" w:cs="Arial"/>
          <w:sz w:val="24"/>
          <w:szCs w:val="24"/>
        </w:rPr>
      </w:pPr>
      <w:r w:rsidRPr="00B55169">
        <w:rPr>
          <w:rFonts w:ascii="Arial" w:hAnsi="Arial" w:cs="Arial"/>
          <w:sz w:val="24"/>
          <w:szCs w:val="24"/>
        </w:rPr>
        <w:t xml:space="preserve">Мероприятия у нас бывают нескольких видов: организационные мероприятия, такие как аттестация рабочих мест, проведение инструктажа работников, обязательное социальное страхование, проведение обязательных медицинских осмотров. Своевременное проведение таких организационных </w:t>
      </w:r>
      <w:r w:rsidRPr="00B55169">
        <w:rPr>
          <w:rFonts w:ascii="Arial" w:hAnsi="Arial" w:cs="Arial"/>
          <w:sz w:val="24"/>
          <w:szCs w:val="24"/>
        </w:rPr>
        <w:lastRenderedPageBreak/>
        <w:t>мероприятий позволяет существенно повысить уровень безопасности как всего производства в целом, так и каждого работника в частности.</w:t>
      </w:r>
    </w:p>
    <w:p w:rsidR="008E28AE" w:rsidRPr="00B55169" w:rsidRDefault="008E28AE" w:rsidP="008E28AE">
      <w:pPr>
        <w:spacing w:after="0"/>
        <w:ind w:firstLine="709"/>
        <w:jc w:val="both"/>
        <w:rPr>
          <w:rFonts w:ascii="Arial" w:hAnsi="Arial" w:cs="Arial"/>
          <w:sz w:val="24"/>
          <w:szCs w:val="24"/>
        </w:rPr>
      </w:pPr>
      <w:r w:rsidRPr="00B55169">
        <w:rPr>
          <w:rFonts w:ascii="Arial" w:hAnsi="Arial" w:cs="Arial"/>
          <w:sz w:val="24"/>
          <w:szCs w:val="24"/>
        </w:rPr>
        <w:t xml:space="preserve">Следующий вид мероприятий – это санитарные мероприятия. Они позволяют обеспечить необходимый микроклимат в рабочей зоне. К ним относятся выполнение требований санитарных правил и норм, санитарных правил и других документов такого же характера, которые связаны со спецификой работы организации. </w:t>
      </w:r>
    </w:p>
    <w:p w:rsidR="008E28AE" w:rsidRPr="00B55169" w:rsidRDefault="008E28AE" w:rsidP="008E28AE">
      <w:pPr>
        <w:spacing w:after="0"/>
        <w:ind w:firstLine="709"/>
        <w:jc w:val="both"/>
        <w:rPr>
          <w:rFonts w:ascii="Arial" w:hAnsi="Arial" w:cs="Arial"/>
          <w:sz w:val="24"/>
          <w:szCs w:val="24"/>
        </w:rPr>
      </w:pPr>
      <w:r w:rsidRPr="00B55169">
        <w:rPr>
          <w:rFonts w:ascii="Arial" w:hAnsi="Arial" w:cs="Arial"/>
          <w:sz w:val="24"/>
          <w:szCs w:val="24"/>
        </w:rPr>
        <w:t>Следующий вид мероприятий – технические. Они направлены на обеспечение необходимого уровня безопасности производственного оборудования. Это профилактика, это ремонт, это замена физически и морально устаревшего оборудования. И еще один вид мероприятий – это мероприятия по индивидуальной защите: подбор для работников СИС (средств индивидуальной защиты), обучение персонала грамотному использованию этих средств.</w:t>
      </w:r>
    </w:p>
    <w:p w:rsidR="008E28AE" w:rsidRPr="00B55169" w:rsidRDefault="008E28AE" w:rsidP="008E28AE">
      <w:pPr>
        <w:spacing w:after="0"/>
        <w:ind w:firstLine="709"/>
        <w:jc w:val="both"/>
        <w:rPr>
          <w:rFonts w:ascii="Arial" w:hAnsi="Arial" w:cs="Arial"/>
          <w:sz w:val="24"/>
          <w:szCs w:val="24"/>
        </w:rPr>
      </w:pPr>
    </w:p>
    <w:sectPr w:rsidR="008E28AE" w:rsidRPr="00B55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1BCE7468"/>
    <w:multiLevelType w:val="multilevel"/>
    <w:tmpl w:val="39804E6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856723"/>
    <w:multiLevelType w:val="multilevel"/>
    <w:tmpl w:val="FCD2A60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D600D4"/>
    <w:multiLevelType w:val="multilevel"/>
    <w:tmpl w:val="EE746E5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num>
  <w:num w:numId="2">
    <w:abstractNumId w:val="1"/>
    <w:lvlOverride w:ilvl="0">
      <w:startOverride w:val="1"/>
    </w:lvlOverride>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A4"/>
    <w:rsid w:val="00020FA4"/>
    <w:rsid w:val="00071367"/>
    <w:rsid w:val="0038262A"/>
    <w:rsid w:val="00494CF8"/>
    <w:rsid w:val="008E28AE"/>
    <w:rsid w:val="00B55169"/>
    <w:rsid w:val="00B96D70"/>
    <w:rsid w:val="00CC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D70"/>
    <w:pPr>
      <w:widowControl w:val="0"/>
      <w:autoSpaceDE w:val="0"/>
      <w:autoSpaceDN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96D70"/>
    <w:rPr>
      <w:color w:val="0563C1" w:themeColor="hyperlink"/>
      <w:u w:val="single"/>
    </w:rPr>
  </w:style>
  <w:style w:type="character" w:customStyle="1" w:styleId="apple-converted-space">
    <w:name w:val="apple-converted-space"/>
    <w:basedOn w:val="a0"/>
    <w:rsid w:val="008E28AE"/>
  </w:style>
  <w:style w:type="paragraph" w:styleId="a4">
    <w:name w:val="Normal (Web)"/>
    <w:basedOn w:val="a"/>
    <w:uiPriority w:val="99"/>
    <w:semiHidden/>
    <w:unhideWhenUsed/>
    <w:rsid w:val="008E28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D70"/>
    <w:pPr>
      <w:widowControl w:val="0"/>
      <w:autoSpaceDE w:val="0"/>
      <w:autoSpaceDN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96D70"/>
    <w:rPr>
      <w:color w:val="0563C1" w:themeColor="hyperlink"/>
      <w:u w:val="single"/>
    </w:rPr>
  </w:style>
  <w:style w:type="character" w:customStyle="1" w:styleId="apple-converted-space">
    <w:name w:val="apple-converted-space"/>
    <w:basedOn w:val="a0"/>
    <w:rsid w:val="008E28AE"/>
  </w:style>
  <w:style w:type="paragraph" w:styleId="a4">
    <w:name w:val="Normal (Web)"/>
    <w:basedOn w:val="a"/>
    <w:uiPriority w:val="99"/>
    <w:semiHidden/>
    <w:unhideWhenUsed/>
    <w:rsid w:val="008E28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4875&amp;dst=2619" TargetMode="External"/><Relationship Id="rId18" Type="http://schemas.openxmlformats.org/officeDocument/2006/relationships/hyperlink" Target="https://login.consultant.ru/link/?req=doc&amp;base=LAW&amp;n=402380&amp;dst=100014" TargetMode="External"/><Relationship Id="rId26" Type="http://schemas.openxmlformats.org/officeDocument/2006/relationships/hyperlink" Target="https://login.consultant.ru/link/?req=doc&amp;base=LAW&amp;n=391821&amp;dst=100018" TargetMode="External"/><Relationship Id="rId39" Type="http://schemas.openxmlformats.org/officeDocument/2006/relationships/hyperlink" Target="https://login.consultant.ru/link/?req=doc&amp;base=LAW&amp;n=464875&amp;dst=2660" TargetMode="External"/><Relationship Id="rId21" Type="http://schemas.openxmlformats.org/officeDocument/2006/relationships/hyperlink" Target="https://login.consultant.ru/link/?req=doc&amp;base=LAW&amp;n=464875&amp;dst=2671" TargetMode="External"/><Relationship Id="rId34" Type="http://schemas.openxmlformats.org/officeDocument/2006/relationships/hyperlink" Target="https://login.consultant.ru/link/?req=doc&amp;base=LAW&amp;n=401350&amp;dst=100015" TargetMode="External"/><Relationship Id="rId42" Type="http://schemas.openxmlformats.org/officeDocument/2006/relationships/hyperlink" Target="https://login.consultant.ru/link/?req=doc&amp;base=LAW&amp;n=464875&amp;dst=2728" TargetMode="External"/><Relationship Id="rId7" Type="http://schemas.openxmlformats.org/officeDocument/2006/relationships/hyperlink" Target="https://login.consultant.ru/link/?req=doc&amp;base=LAW&amp;n=464875&amp;dst=2704" TargetMode="External"/><Relationship Id="rId2" Type="http://schemas.openxmlformats.org/officeDocument/2006/relationships/styles" Target="styles.xml"/><Relationship Id="rId16" Type="http://schemas.openxmlformats.org/officeDocument/2006/relationships/hyperlink" Target="https://login.consultant.ru/link/?req=doc&amp;base=LAW&amp;n=464875&amp;dst=2532" TargetMode="External"/><Relationship Id="rId29" Type="http://schemas.openxmlformats.org/officeDocument/2006/relationships/hyperlink" Target="https://login.consultant.ru/link/?req=doc&amp;base=LAW&amp;n=404296&amp;dst=100023" TargetMode="External"/><Relationship Id="rId1" Type="http://schemas.openxmlformats.org/officeDocument/2006/relationships/numbering" Target="numbering.xml"/><Relationship Id="rId6" Type="http://schemas.openxmlformats.org/officeDocument/2006/relationships/hyperlink" Target="https://login.consultant.ru/link/?req=doc&amp;base=LAW&amp;n=464875&amp;dst=2807" TargetMode="External"/><Relationship Id="rId11" Type="http://schemas.openxmlformats.org/officeDocument/2006/relationships/hyperlink" Target="https://login.consultant.ru/link/?req=doc&amp;base=LAW&amp;n=403901&amp;dst=100015" TargetMode="External"/><Relationship Id="rId24" Type="http://schemas.openxmlformats.org/officeDocument/2006/relationships/hyperlink" Target="https://login.consultant.ru/link/?req=doc&amp;base=LAW&amp;n=464875&amp;dst=2781" TargetMode="External"/><Relationship Id="rId32" Type="http://schemas.openxmlformats.org/officeDocument/2006/relationships/hyperlink" Target="https://login.consultant.ru/link/?req=doc&amp;base=LAW&amp;n=401350&amp;dst=100010" TargetMode="External"/><Relationship Id="rId37" Type="http://schemas.openxmlformats.org/officeDocument/2006/relationships/hyperlink" Target="https://login.consultant.ru/link/?req=doc&amp;base=LAW&amp;n=407362&amp;dst=100010" TargetMode="External"/><Relationship Id="rId40" Type="http://schemas.openxmlformats.org/officeDocument/2006/relationships/hyperlink" Target="https://login.consultant.ru/link/?req=doc&amp;base=LAW&amp;n=464875&amp;dst=280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01279&amp;dst=100010" TargetMode="External"/><Relationship Id="rId23" Type="http://schemas.openxmlformats.org/officeDocument/2006/relationships/hyperlink" Target="https://login.consultant.ru/link/?req=doc&amp;base=LAW&amp;n=402031&amp;dst=100011" TargetMode="External"/><Relationship Id="rId28" Type="http://schemas.openxmlformats.org/officeDocument/2006/relationships/hyperlink" Target="https://login.consultant.ru/link/?req=doc&amp;base=LAW&amp;n=391821&amp;dst=100054" TargetMode="External"/><Relationship Id="rId36" Type="http://schemas.openxmlformats.org/officeDocument/2006/relationships/hyperlink" Target="https://login.consultant.ru/link/?req=doc&amp;base=LAW&amp;n=464875&amp;dst=2742" TargetMode="External"/><Relationship Id="rId10" Type="http://schemas.openxmlformats.org/officeDocument/2006/relationships/hyperlink" Target="https://login.consultant.ru/link/?req=doc&amp;base=LAW&amp;n=403335&amp;dst=100013" TargetMode="External"/><Relationship Id="rId19" Type="http://schemas.openxmlformats.org/officeDocument/2006/relationships/hyperlink" Target="https://login.consultant.ru/link/?req=doc&amp;base=LAW&amp;n=464875&amp;dst=2796" TargetMode="External"/><Relationship Id="rId31" Type="http://schemas.openxmlformats.org/officeDocument/2006/relationships/hyperlink" Target="https://login.consultant.ru/link/?req=doc&amp;base=LAW&amp;n=464875&amp;dst=277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64875&amp;dst=2736" TargetMode="External"/><Relationship Id="rId14" Type="http://schemas.openxmlformats.org/officeDocument/2006/relationships/hyperlink" Target="https://login.consultant.ru/link/?req=doc&amp;base=LAW&amp;n=464875&amp;dst=2623" TargetMode="External"/><Relationship Id="rId22" Type="http://schemas.openxmlformats.org/officeDocument/2006/relationships/hyperlink" Target="https://login.consultant.ru/link/?req=doc&amp;base=LAW&amp;n=402031&amp;dst=100011" TargetMode="External"/><Relationship Id="rId27" Type="http://schemas.openxmlformats.org/officeDocument/2006/relationships/hyperlink" Target="https://login.consultant.ru/link/?req=doc&amp;base=LAW&amp;n=391821&amp;dst=100042" TargetMode="External"/><Relationship Id="rId30" Type="http://schemas.openxmlformats.org/officeDocument/2006/relationships/hyperlink" Target="https://login.consultant.ru/link/?req=doc&amp;base=LAW&amp;n=404296&amp;dst=100110" TargetMode="External"/><Relationship Id="rId35" Type="http://schemas.openxmlformats.org/officeDocument/2006/relationships/hyperlink" Target="https://login.consultant.ru/link/?req=doc&amp;base=LAW&amp;n=408713&amp;dst=100009" TargetMode="External"/><Relationship Id="rId43" Type="http://schemas.openxmlformats.org/officeDocument/2006/relationships/hyperlink" Target="https://login.consultant.ru/link/?req=doc&amp;base=LAW&amp;n=408712&amp;dst=100013" TargetMode="External"/><Relationship Id="rId8" Type="http://schemas.openxmlformats.org/officeDocument/2006/relationships/hyperlink" Target="https://login.consultant.ru/link/?req=doc&amp;base=LAW&amp;n=403335&amp;dst=100011" TargetMode="External"/><Relationship Id="rId3" Type="http://schemas.microsoft.com/office/2007/relationships/stylesWithEffects" Target="stylesWithEffects.xml"/><Relationship Id="rId12" Type="http://schemas.openxmlformats.org/officeDocument/2006/relationships/hyperlink" Target="https://login.consultant.ru/link/?req=doc&amp;base=LAW&amp;n=464875&amp;dst=2618" TargetMode="External"/><Relationship Id="rId17" Type="http://schemas.openxmlformats.org/officeDocument/2006/relationships/hyperlink" Target="https://login.consultant.ru/link/?req=doc&amp;base=LAW&amp;n=401279&amp;dst=100012" TargetMode="External"/><Relationship Id="rId25" Type="http://schemas.openxmlformats.org/officeDocument/2006/relationships/hyperlink" Target="https://login.consultant.ru/link/?req=doc&amp;base=LAW&amp;n=402031&amp;dst=100013" TargetMode="External"/><Relationship Id="rId33" Type="http://schemas.openxmlformats.org/officeDocument/2006/relationships/hyperlink" Target="https://login.consultant.ru/link/?req=doc&amp;base=LAW&amp;n=464875&amp;dst=2588" TargetMode="External"/><Relationship Id="rId38" Type="http://schemas.openxmlformats.org/officeDocument/2006/relationships/hyperlink" Target="https://login.consultant.ru/link/?req=doc&amp;base=LAW&amp;n=464875&amp;dst=2804" TargetMode="External"/><Relationship Id="rId20" Type="http://schemas.openxmlformats.org/officeDocument/2006/relationships/hyperlink" Target="https://login.consultant.ru/link/?req=doc&amp;base=LAW&amp;n=402317&amp;dst=100010" TargetMode="External"/><Relationship Id="rId41" Type="http://schemas.openxmlformats.org/officeDocument/2006/relationships/hyperlink" Target="https://login.consultant.ru/link/?req=doc&amp;base=LAW&amp;n=405188&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2031</Words>
  <Characters>11579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Администрайия Должанского района</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Чеботкова М.М.</cp:lastModifiedBy>
  <cp:revision>5</cp:revision>
  <cp:lastPrinted>2024-01-22T13:13:00Z</cp:lastPrinted>
  <dcterms:created xsi:type="dcterms:W3CDTF">2024-01-22T07:53:00Z</dcterms:created>
  <dcterms:modified xsi:type="dcterms:W3CDTF">2024-01-22T13:13:00Z</dcterms:modified>
</cp:coreProperties>
</file>